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8"/>
        <w:tblW w:w="4800" w:type="dxa"/>
        <w:jc w:val="left"/>
        <w:tblInd w:w="1015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00"/>
      </w:tblGrid>
      <w:tr>
        <w:trPr/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240" w:before="0" w:after="0"/>
              <w:ind w:hanging="0" w:left="-113" w:right="113"/>
              <w:jc w:val="both"/>
              <w:textAlignment w:val="baseline"/>
              <w:rPr>
                <w:szCs w:val="22"/>
                <w:lang w:val="ru-RU" w:bidi="ar-SA"/>
              </w:rPr>
            </w:pPr>
            <w:r>
              <w:rPr>
                <w:sz w:val="28"/>
                <w:szCs w:val="28"/>
                <w:lang w:val="ru-RU" w:bidi="ar-SA"/>
              </w:rPr>
              <w:t>Приложение 5</w:t>
            </w:r>
          </w:p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240" w:before="0" w:after="0"/>
              <w:ind w:hanging="0" w:left="-113" w:right="-57"/>
              <w:jc w:val="both"/>
              <w:textAlignment w:val="baseline"/>
              <w:rPr>
                <w:szCs w:val="22"/>
                <w:lang w:val="ru-RU" w:bidi="ar-SA"/>
              </w:rPr>
            </w:pPr>
            <w:r>
              <w:rPr>
                <w:sz w:val="28"/>
                <w:szCs w:val="28"/>
                <w:lang w:val="ru-RU" w:bidi="ar-SA"/>
              </w:rPr>
              <w:t>к административному регламенту «Выдача разрешения на строительство, внесение изменений в разрешение                 на строительство, в том числе в связи               с необходимостью продления срока действия разрешения на строительство»</w:t>
            </w:r>
          </w:p>
        </w:tc>
      </w:tr>
    </w:tbl>
    <w:p>
      <w:pPr>
        <w:pStyle w:val="Normal"/>
        <w:jc w:val="center"/>
        <w:rPr>
          <w:b/>
          <w:sz w:val="28"/>
          <w:szCs w:val="28"/>
          <w:shd w:fill="FFFFFF" w:val="clear"/>
        </w:rPr>
      </w:pPr>
      <w:r>
        <w:rPr>
          <w:b/>
          <w:sz w:val="28"/>
          <w:szCs w:val="28"/>
          <w:shd w:fill="FFFFFF" w:val="clear"/>
        </w:rPr>
      </w:r>
    </w:p>
    <w:p>
      <w:pPr>
        <w:pStyle w:val="Normal"/>
        <w:jc w:val="center"/>
        <w:rPr>
          <w:b/>
          <w:sz w:val="28"/>
          <w:szCs w:val="28"/>
          <w:shd w:fill="FFFFFF" w:val="clear"/>
        </w:rPr>
      </w:pPr>
      <w:r>
        <w:rPr>
          <w:b/>
          <w:sz w:val="28"/>
          <w:szCs w:val="28"/>
          <w:shd w:fill="FFFFFF" w:val="clear"/>
        </w:rPr>
      </w:r>
    </w:p>
    <w:p>
      <w:pPr>
        <w:pStyle w:val="Style19"/>
        <w:jc w:val="center"/>
        <w:rPr>
          <w:b/>
          <w:szCs w:val="28"/>
          <w:shd w:fill="FFFFFF" w:val="clear"/>
        </w:rPr>
      </w:pPr>
      <w:r>
        <w:rPr>
          <w:b/>
          <w:sz w:val="28"/>
          <w:szCs w:val="28"/>
          <w:shd w:fill="FFFFFF" w:val="clear"/>
        </w:rPr>
        <w:t>ИСЧЕРПЫВАЮЩИЙ ПЕРЕЧЕНЬ</w:t>
      </w:r>
    </w:p>
    <w:p>
      <w:pPr>
        <w:pStyle w:val="Style19"/>
        <w:spacing w:before="0" w:after="0"/>
        <w:contextualSpacing/>
        <w:jc w:val="center"/>
        <w:rPr/>
      </w:pPr>
      <w:r>
        <w:rPr>
          <w:b/>
          <w:sz w:val="28"/>
          <w:szCs w:val="28"/>
          <w:shd w:fill="FFFFFF" w:val="clear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>
      <w:pPr>
        <w:pStyle w:val="Style19"/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9"/>
        <w:spacing w:before="0" w:after="0"/>
        <w:ind w:hanging="0"/>
        <w:contextualSpacing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5147" w:type="dxa"/>
        <w:jc w:val="left"/>
        <w:tblInd w:w="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68"/>
        <w:gridCol w:w="3862"/>
        <w:gridCol w:w="3791"/>
        <w:gridCol w:w="3260"/>
        <w:gridCol w:w="3666"/>
      </w:tblGrid>
      <w:tr>
        <w:trPr>
          <w:tblHeader w:val="true"/>
          <w:trHeight w:val="91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>№</w:t>
            </w:r>
            <w:r>
              <w:rPr/>
              <w:br/>
            </w:r>
            <w:r>
              <w:rPr>
                <w:shd w:fill="FFFFFF" w:val="clear"/>
              </w:rPr>
              <w:t>п/п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 xml:space="preserve">Идентификатор категории </w:t>
              <w:br/>
              <w:t>(признаков) заявителей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 xml:space="preserve">Перечень оснований для отказа </w:t>
              <w:br/>
              <w:t xml:space="preserve">в приёме запроса </w:t>
              <w:br/>
              <w:t>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shd w:fill="FFFFFF" w:val="clear"/>
              </w:rPr>
            </w:pPr>
            <w:r>
              <w:rPr/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 xml:space="preserve">Перечень оснований для отказа </w:t>
              <w:br/>
              <w:t xml:space="preserve">в предоставлении </w:t>
              <w:br/>
              <w:t>муниципальной услуги</w:t>
            </w:r>
          </w:p>
        </w:tc>
      </w:tr>
      <w:tr>
        <w:trPr>
          <w:tblHeader w:val="true"/>
          <w:trHeight w:val="91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>1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>2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>4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>5</w:t>
            </w:r>
          </w:p>
        </w:tc>
      </w:tr>
      <w:tr>
        <w:trPr>
          <w:trHeight w:val="566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  <w:t>1.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/>
            </w:pPr>
            <w:r>
              <w:rPr/>
              <w:t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 при подаче заявления о выдаче разрешения на строительство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>
            <w:pPr>
              <w:pStyle w:val="Normal"/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/>
            </w:pPr>
            <w:r>
              <w:rPr>
                <w:szCs w:val="24"/>
                <w:shd w:fill="FFFFFF" w:val="clear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1) отсутствие у заявителя (представителя заявителя) права (полномочий) на получение муниципальной услуги;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2)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3)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4) обращение (в письменном виде) заявителя (представителя заявителя) с просьбой о прекращении предоставления муниципальной услуги;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5) отсутствие документов, предусмотренных пунктом 1 приложения № 2 к настоящему регламенту, обязанность представления которых возложена на заявителя;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6) 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а также разрешённому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строительство, требованиям, установленным в разрешении на отклонение от предельных параметров разрешённого строительства, реконструкции;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7) поступившее от исполнительного органа субъекта Российской Федерации, уполномоченного в области охраны объектов культурного наследия,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(в случае если подано заявление о выдаче разрешения на строительство объекта капитального строительства,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значения, и к заявлению о выдаче разрешения на строительство не приложено заключение, указанное в части 10.1 статьи 51 ГрК РФ, либо в заявлении о выдаче разрешения на строительство не содержится указание на типовое архитектурное решение, в соответствии с которым планируется строительство или реконструкция объекта капитального строительства);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8) в случае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комплексном развитии территории, или территории, в отношении которой заключён договор о комплексном развитии территории в соответствии со статьёй 70 ГрК РФ, - отсутствие документации по планировке территории, утверждённой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территории);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9) несоответствие проектной документации очерёдности планируемого развития территории, предусмотренной проектом планировки территории (в случае предусмотренном частью 11.1-1 статьи 51 ГрК РФ)</w:t>
            </w:r>
          </w:p>
        </w:tc>
      </w:tr>
      <w:tr>
        <w:trPr>
          <w:trHeight w:val="212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  <w:t>2.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/>
            </w:pPr>
            <w:r>
              <w:rPr/>
              <w:t>Лица, указанные в частях 21.5 – 21.7 и 21.9 статьи 51 ГрК РФ при подаче заявления о внесении изменений в разрешение на строительство (в том числе 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 при подаче заявления о внесении изменений в разрешение на строительство исключительно в связи с продлением срока действия такого разрешения)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>
            <w:pPr>
              <w:pStyle w:val="Normal"/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/>
            </w:pPr>
            <w:r>
              <w:rPr>
                <w:szCs w:val="24"/>
                <w:shd w:fill="FFFFFF" w:val="clear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1) отсутствие у заявителя (представителя заявителя) права (полномочий) на получение муниципальной услуги;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2)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3)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4) обращение (в письменном виде) заявителя (представителя заявителя) с просьбой о прекращении предоставления муниципальной услуги;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5) отсутствие в уведомлении о переходе прав на земельный участок, права пользования недрами, об образовании земельного участка реквизитов документов, предусмотренных соответственно пунктами 1 - 4 части 21.10 статьи 51 ГрК РФ, или отсутствие правоустанавливающего документа на земельный участок в случае, указанном в части 21.13 статьи 51 ГрК РФ, либо отсутствие документов, предусмотренных частью 7 статьи 51 ГрК РФ,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6) недостоверность сведений, указанных в уведомлении о переходе прав на земельный участок, права пользования недрами, об образовании земельного участка;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 xml:space="preserve">7) </w:t>
            </w:r>
            <w:r>
              <w:rPr>
                <w:shd w:fill="FFFFFF" w:val="clear"/>
              </w:rPr>
      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 в случае, предусмотренном частью 21.7 статьи 51 ГрК РФ. При этом градостроительный план земельного участка должен быть выдан не ранее чем за три года до дня направления уведомления, указанного в части 21.10 статьи 51 ГрК РФ;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8)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9) несоответствие планируемого объекта капитального строительства разрешённому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частью 21.7 статьи 51 ГрК РФ, или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10)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разрешённого строительства, реконструкции,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11) наличие у уполномоченных на выдачу разрешений на строительство органа местного самоуправления информации о выявленном в рамках государственного строительного надзора, федерального государственного земельного контроля (надзора)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с требованиями части 5 статьи 52 ГрК РФ, в случае если внесение изменений в разрешение на строительство связано с продлением срока действия разрешения на строительство. В этом случае уполномоченные на выдачу разрешений на строительство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12) подача заявления о внесении изменений в разрешение на строительство менее чем за 10 рабочих дней до истечения срока действия разрешения на строительство.</w:t>
            </w:r>
          </w:p>
        </w:tc>
      </w:tr>
      <w:tr>
        <w:trPr>
          <w:trHeight w:val="773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  <w:t>3.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Заявители, ранее обратившиеся за получением 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  <w:shd w:fill="FFFFFF" w:val="clear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1) отсутствие у заявителя (представителя заявителя) права (полномочия) на получение муниципальной услуги;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2) предоставление документов в ненадлежащий орган;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3) обращение (в письменном виде) заявителя с просьбой о прекращении предоставления муниципальной услуги;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4) отсутствие допущенных опечаток и ошибок в выданных в результате предоставления муниципальной услуги документах</w:t>
            </w:r>
          </w:p>
        </w:tc>
      </w:tr>
      <w:tr>
        <w:trPr>
          <w:trHeight w:val="1285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  <w:t>4.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  <w:shd w:fill="FFFFFF" w:val="clear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1) отсутствие у заявителя права (полномочий представителя заявителя) на получение муниципальной услуги;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2) представление документов в ненадлежащий орган;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3) обращение (в письменном виде) заявителя с просьбой о прекращении предоставления муниципальной услуги;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4) отсутствие факта обращения заявителя за получением муниципальной услуги, по результатам которой выдан соответствующий документ</w:t>
            </w:r>
          </w:p>
        </w:tc>
      </w:tr>
      <w:tr>
        <w:trPr>
          <w:trHeight w:val="1755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  <w:t>5.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  <w:p>
            <w:pPr>
              <w:pStyle w:val="Normal"/>
              <w:suppressAutoHyphens w:val="false"/>
              <w:spacing w:before="0" w:after="0"/>
              <w:contextualSpacing/>
              <w:rPr>
                <w:szCs w:val="24"/>
              </w:rPr>
            </w:pPr>
            <w:r>
              <w:rPr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2205" w:leader="none"/>
              </w:tabs>
              <w:suppressAutoHyphens w:val="false"/>
              <w:spacing w:before="0" w:after="0"/>
              <w:contextualSpacing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pacing w:val="-6"/>
              </w:rPr>
            </w:pPr>
            <w:r>
              <w:rPr>
                <w:spacing w:val="-6"/>
              </w:rPr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>
                <w:spacing w:val="-6"/>
              </w:rPr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  <w:shd w:fill="FFFFFF" w:val="clear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  <w:shd w:fill="FFFFFF" w:val="clear"/>
              </w:rPr>
              <w:t>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>
      <w:pPr>
        <w:pStyle w:val="Style19"/>
        <w:spacing w:before="0" w:after="0"/>
        <w:ind w:hanging="0"/>
        <w:contextualSpacing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19"/>
        <w:spacing w:before="0" w:after="0"/>
        <w:ind w:hanging="0"/>
        <w:contextualSpacing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19"/>
        <w:spacing w:before="0" w:after="0"/>
        <w:ind w:hanging="0"/>
        <w:contextualSpacing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Normal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>Начальник управления архитектуры</w:t>
      </w:r>
    </w:p>
    <w:p>
      <w:pPr>
        <w:pStyle w:val="Normal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и градостроительства администрации               </w:t>
      </w:r>
    </w:p>
    <w:p>
      <w:pPr>
        <w:pStyle w:val="Normal"/>
        <w:rPr/>
      </w:pPr>
      <w:r>
        <w:rPr>
          <w:sz w:val="28"/>
          <w:szCs w:val="28"/>
          <w:shd w:fill="FFFFFF" w:val="clear"/>
        </w:rPr>
        <w:t>муниципального образования Ейский район                                                                                                             Е.Г. Медведева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964" w:right="1134" w:gutter="0" w:header="709" w:top="1134" w:footer="0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583682872"/>
    </w:sdtPr>
    <w:sdtContent>
      <w:p>
        <w:pPr>
          <w:pStyle w:val="Header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14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347c2"/>
    <w:pPr>
      <w:widowControl w:val="false"/>
      <w:suppressAutoHyphens w:val="true"/>
      <w:overflowPunct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basedOn w:val="DefaultParagraphFont"/>
    <w:qFormat/>
    <w:rsid w:val="001e3d60"/>
    <w:rPr>
      <w:color w:val="0000FF"/>
      <w:u w:val="single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7d2f69"/>
    <w:rPr>
      <w:rFonts w:ascii="Tahoma" w:hAnsi="Tahoma" w:eastAsia="Times New Roman" w:cs="Tahoma"/>
      <w:kern w:val="2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1d6e76"/>
    <w:rPr>
      <w:rFonts w:ascii="Times New Roman" w:hAnsi="Times New Roman" w:eastAsia="Times New Roman" w:cs="Times New Roman"/>
      <w:kern w:val="2"/>
      <w:sz w:val="24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1d6e76"/>
    <w:rPr>
      <w:rFonts w:ascii="Times New Roman" w:hAnsi="Times New Roman" w:eastAsia="Times New Roman" w:cs="Times New Roman"/>
      <w:kern w:val="2"/>
      <w:sz w:val="24"/>
      <w:lang w:eastAsia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Style19" w:customStyle="1">
    <w:name w:val="Нормальный"/>
    <w:basedOn w:val="Normal"/>
    <w:qFormat/>
    <w:rsid w:val="00c347c2"/>
    <w:pPr>
      <w:widowControl/>
      <w:ind w:firstLine="720"/>
      <w:jc w:val="both"/>
    </w:pPr>
    <w:rPr/>
  </w:style>
  <w:style w:type="paragraph" w:styleId="s1" w:customStyle="1">
    <w:name w:val="s_1"/>
    <w:basedOn w:val="Normal"/>
    <w:qFormat/>
    <w:rsid w:val="00c347c2"/>
    <w:pPr>
      <w:widowControl/>
      <w:suppressAutoHyphens w:val="false"/>
      <w:overflowPunct w:val="false"/>
      <w:spacing w:before="100" w:after="100"/>
      <w:textAlignment w:val="auto"/>
    </w:pPr>
    <w:rPr>
      <w:kern w:val="0"/>
      <w:szCs w:val="24"/>
    </w:rPr>
  </w:style>
  <w:style w:type="paragraph" w:styleId="s16" w:customStyle="1">
    <w:name w:val="s_16"/>
    <w:basedOn w:val="Normal"/>
    <w:qFormat/>
    <w:rsid w:val="00c347c2"/>
    <w:pPr>
      <w:widowControl/>
      <w:suppressAutoHyphens w:val="false"/>
      <w:overflowPunct w:val="false"/>
      <w:spacing w:before="100" w:after="100"/>
      <w:textAlignment w:val="auto"/>
    </w:pPr>
    <w:rPr>
      <w:kern w:val="0"/>
      <w:szCs w:val="24"/>
    </w:rPr>
  </w:style>
  <w:style w:type="paragraph" w:styleId="NoSpacing">
    <w:name w:val="No Spacing"/>
    <w:qFormat/>
    <w:rsid w:val="001e3d60"/>
    <w:pPr>
      <w:widowControl w:val="false"/>
      <w:suppressAutoHyphens w:val="true"/>
      <w:overflowPunct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2"/>
      <w:lang w:eastAsia="ru-RU" w:val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7d2f69"/>
    <w:pPr/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1d6e7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1d6e76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e9444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LibreOffice/24.2.5.2$Windows_X86_64 LibreOffice_project/bffef4ea93e59bebbeaf7f431bb02b1a39ee8a59</Application>
  <AppVersion>15.0000</AppVersion>
  <Pages>14</Pages>
  <Words>1714</Words>
  <Characters>13267</Characters>
  <CharactersWithSpaces>15067</CharactersWithSpaces>
  <Paragraphs>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2025-08-25T11:53:00Z</dcterms:created>
  <dc:creator>Специалист</dc:creator>
  <dc:description/>
  <dc:language>ru-RU</dc:language>
  <cp:lastModifiedBy/>
  <cp:lastPrinted>2025-11-10T09:16:00Z</cp:lastPrinted>
  <dcterms:modified xsi:type="dcterms:W3CDTF">2026-02-24T08:36:51Z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